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3F7C9C" w:rsidP="006A1949">
      <w:pPr>
        <w:pStyle w:val="rozdzial"/>
        <w:spacing w:after="120"/>
        <w:ind w:left="0" w:firstLine="0"/>
      </w:pPr>
      <w:r>
        <w:t>Wymagania edukacyjne z fizyki klasa 8</w:t>
      </w:r>
      <w:r w:rsidR="003B15F9">
        <w:t xml:space="preserve"> (na podstawnie wyd. Nowa Era)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6195"/>
      </w:tblGrid>
      <w:tr w:rsidR="00A125EE" w:rsidRPr="0080186D" w:rsidTr="008F73FA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8F73FA">
                  <w:pPr>
                    <w:pStyle w:val="tekstglowny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8F73FA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8F73FA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  <w:r>
        <w:rPr>
          <w:rFonts w:ascii="CentSchbookEU-Bold" w:hAnsi="CentSchbookEU-Bold" w:cs="CentSchbookEU-Bold"/>
          <w:b/>
          <w:bCs/>
        </w:rPr>
        <w:br w:type="textWrapping" w:clear="all"/>
      </w:r>
    </w:p>
    <w:p w:rsidR="009B4A7A" w:rsidRPr="007A646B" w:rsidRDefault="00A125EE" w:rsidP="004C5EC2">
      <w:pPr>
        <w:pStyle w:val="rdtytuzkwadratemgranatowym"/>
        <w:numPr>
          <w:ilvl w:val="0"/>
          <w:numId w:val="33"/>
        </w:numPr>
        <w:spacing w:before="0" w:line="260" w:lineRule="exact"/>
        <w:ind w:left="0" w:firstLine="0"/>
      </w:pPr>
      <w:r w:rsidRPr="0080186D">
        <w:t>Zasady ogólne:</w:t>
      </w:r>
      <w:bookmarkStart w:id="0" w:name="_GoBack"/>
      <w:bookmarkEnd w:id="0"/>
    </w:p>
    <w:p w:rsidR="007A646B" w:rsidRDefault="007A646B" w:rsidP="007A646B">
      <w:pPr>
        <w:rPr>
          <w:b/>
        </w:rPr>
      </w:pPr>
      <w:r>
        <w:rPr>
          <w:b/>
        </w:rPr>
        <w:t>Kryteria oceniania:</w:t>
      </w:r>
    </w:p>
    <w:p w:rsidR="007A646B" w:rsidRDefault="007A646B" w:rsidP="007A646B">
      <w:r>
        <w:rPr>
          <w:i/>
          <w:iCs/>
        </w:rPr>
        <w:t>Ocenę celującą otrzymuje uczeń, który:</w:t>
      </w:r>
    </w:p>
    <w:p w:rsidR="007A646B" w:rsidRDefault="007A646B" w:rsidP="007A646B">
      <w:pPr>
        <w:ind w:left="708"/>
        <w:contextualSpacing/>
      </w:pPr>
      <w:r>
        <w:t>- opanował w pełnym zakresie wiadomości i umiejętności określone programem nauczania,</w:t>
      </w:r>
    </w:p>
    <w:p w:rsidR="007A646B" w:rsidRDefault="007A646B" w:rsidP="007A646B">
      <w:pPr>
        <w:ind w:firstLine="708"/>
      </w:pPr>
      <w:r>
        <w:t>- formułuje problemy oraz dokonuje analizy i syntezy nowych zjawisk,</w:t>
      </w:r>
    </w:p>
    <w:p w:rsidR="007A646B" w:rsidRDefault="007A646B" w:rsidP="007A646B">
      <w:pPr>
        <w:ind w:firstLine="708"/>
      </w:pPr>
      <w:r>
        <w:t>- proponuje rozwiązana nietypowe,</w:t>
      </w:r>
    </w:p>
    <w:p w:rsidR="007A646B" w:rsidRDefault="007A646B" w:rsidP="007A646B">
      <w:pPr>
        <w:ind w:firstLine="708"/>
      </w:pPr>
      <w:r>
        <w:t>- osiąga sukcesy w konkursach i olimpiadach fizycznych szczebla wyższego niż  szkolny;</w:t>
      </w:r>
    </w:p>
    <w:p w:rsidR="007A646B" w:rsidRDefault="007A646B" w:rsidP="007A646B">
      <w:pPr>
        <w:rPr>
          <w:i/>
          <w:iCs/>
        </w:rPr>
      </w:pPr>
      <w:r>
        <w:rPr>
          <w:i/>
          <w:iCs/>
        </w:rPr>
        <w:t>Ocenę bardzo dobrą otrzymuje uczeń, który:</w:t>
      </w:r>
    </w:p>
    <w:p w:rsidR="007A646B" w:rsidRDefault="007A646B" w:rsidP="007A646B">
      <w:pPr>
        <w:ind w:left="705"/>
        <w:contextualSpacing/>
      </w:pPr>
      <w:r>
        <w:t>- opanował w pełnym zakresie wiadomości i umiejętności określone programem,</w:t>
      </w:r>
    </w:p>
    <w:p w:rsidR="007A646B" w:rsidRDefault="007A646B" w:rsidP="007A646B">
      <w:pPr>
        <w:ind w:left="705" w:firstLine="3"/>
        <w:contextualSpacing/>
      </w:pPr>
      <w:r>
        <w:t>- stosuje zdobytą wiedzę do rozwiązywania problemów i zadań w nowych sytuacjach,</w:t>
      </w:r>
    </w:p>
    <w:p w:rsidR="007A646B" w:rsidRDefault="007A646B" w:rsidP="007A646B">
      <w:pPr>
        <w:ind w:left="705" w:firstLine="3"/>
        <w:contextualSpacing/>
      </w:pPr>
      <w:r>
        <w:t>- wykazuje dużą samodzielność i korzysta z różnych źródeł wiedzy,</w:t>
      </w:r>
    </w:p>
    <w:p w:rsidR="007A646B" w:rsidRDefault="007A646B" w:rsidP="007A646B">
      <w:pPr>
        <w:ind w:firstLine="708"/>
      </w:pPr>
      <w:r>
        <w:t>- planuje i bezpiecznie przeprowadza eksperymenty fizyczne,</w:t>
      </w:r>
    </w:p>
    <w:p w:rsidR="007A646B" w:rsidRDefault="007A646B" w:rsidP="007A646B">
      <w:pPr>
        <w:rPr>
          <w:i/>
          <w:iCs/>
        </w:rPr>
      </w:pPr>
      <w:r>
        <w:rPr>
          <w:i/>
          <w:iCs/>
        </w:rPr>
        <w:t>Ocenę dobrą otrzymuje uczeń, który:</w:t>
      </w:r>
    </w:p>
    <w:p w:rsidR="007A646B" w:rsidRDefault="007A646B" w:rsidP="007A646B">
      <w:pPr>
        <w:ind w:left="708"/>
        <w:contextualSpacing/>
      </w:pPr>
      <w:r>
        <w:t>- opanował w dużym zakresie wiadomości i umiejętności określone programem,</w:t>
      </w:r>
    </w:p>
    <w:p w:rsidR="007A646B" w:rsidRDefault="007A646B" w:rsidP="007A646B">
      <w:pPr>
        <w:ind w:left="708"/>
        <w:contextualSpacing/>
      </w:pPr>
      <w:r>
        <w:t>- poprawnie stosuje wiadomości i umiejętności do samodzielnego rozwiązywania typowych zadań i problemów,</w:t>
      </w:r>
    </w:p>
    <w:p w:rsidR="007A646B" w:rsidRDefault="007A646B" w:rsidP="007A646B">
      <w:pPr>
        <w:ind w:firstLine="708"/>
      </w:pPr>
      <w:r>
        <w:t>- bezpiecznie wykonuje doświadczenia fizyczne,</w:t>
      </w:r>
    </w:p>
    <w:p w:rsidR="007A646B" w:rsidRDefault="007A646B" w:rsidP="007A646B">
      <w:pPr>
        <w:ind w:firstLine="708"/>
      </w:pPr>
      <w:r>
        <w:t>- rozwiązuje zadania o średnim stopniu trudności,</w:t>
      </w:r>
    </w:p>
    <w:p w:rsidR="007A646B" w:rsidRDefault="007A646B" w:rsidP="007A646B">
      <w:pPr>
        <w:ind w:left="708"/>
        <w:contextualSpacing/>
      </w:pPr>
      <w:r>
        <w:t>- korzysta z różnych źródeł wiedzy fizycznej;</w:t>
      </w:r>
    </w:p>
    <w:p w:rsidR="007A646B" w:rsidRDefault="007A646B" w:rsidP="007A646B">
      <w:r>
        <w:t xml:space="preserve"> </w:t>
      </w:r>
      <w:r>
        <w:rPr>
          <w:i/>
          <w:iCs/>
        </w:rPr>
        <w:t>Ocenę dostateczną otrzymuje uczeń, który:</w:t>
      </w:r>
    </w:p>
    <w:p w:rsidR="007A646B" w:rsidRDefault="007A646B" w:rsidP="007A646B">
      <w:pPr>
        <w:ind w:firstLine="708"/>
      </w:pPr>
      <w:r>
        <w:t>- opanował w podstawowym zakresie wiadomości i umiejętności,</w:t>
      </w:r>
    </w:p>
    <w:p w:rsidR="007A646B" w:rsidRDefault="007A646B" w:rsidP="007A646B">
      <w:pPr>
        <w:ind w:firstLine="708"/>
      </w:pPr>
      <w:r>
        <w:t>- korzysta w podstawowym zakresie ze źródeł wiedzy,</w:t>
      </w:r>
    </w:p>
    <w:p w:rsidR="007A646B" w:rsidRDefault="007A646B" w:rsidP="007A646B">
      <w:pPr>
        <w:ind w:left="708"/>
        <w:contextualSpacing/>
      </w:pPr>
      <w:r>
        <w:t>- poprawnie stosuje wiadomości i umiejętności przy rozwiązywaniu typowych zadań i problemów o niewielkim stopniu trudności,</w:t>
      </w:r>
    </w:p>
    <w:p w:rsidR="007A646B" w:rsidRDefault="007A646B" w:rsidP="007A646B">
      <w:pPr>
        <w:ind w:left="708"/>
        <w:contextualSpacing/>
      </w:pPr>
      <w:r>
        <w:t>- bezpiecznie wykonuje doświadczenia fizyczne;</w:t>
      </w:r>
    </w:p>
    <w:p w:rsidR="007A646B" w:rsidRDefault="007A646B" w:rsidP="007A646B">
      <w:pPr>
        <w:rPr>
          <w:i/>
          <w:iCs/>
        </w:rPr>
      </w:pPr>
      <w:r>
        <w:rPr>
          <w:i/>
          <w:iCs/>
        </w:rPr>
        <w:t>Ocenę dopuszczającą otrzymuje uczeń, który:</w:t>
      </w:r>
    </w:p>
    <w:p w:rsidR="007A646B" w:rsidRDefault="007A646B" w:rsidP="007A646B">
      <w:pPr>
        <w:ind w:left="708"/>
        <w:contextualSpacing/>
      </w:pPr>
      <w:r>
        <w:t>- ma braki w opanowaniu wiadomości i umiejętności określonych programem, ale braki te nie przekreślają możliwości dalszego kształcenia,</w:t>
      </w:r>
    </w:p>
    <w:p w:rsidR="007A646B" w:rsidRDefault="007A646B" w:rsidP="007A646B">
      <w:pPr>
        <w:ind w:left="708"/>
        <w:contextualSpacing/>
      </w:pPr>
      <w:r>
        <w:t>- rozwiązuje typowe zadania teoretyczne i praktyczne o niewielkim stopniu trudności,</w:t>
      </w:r>
    </w:p>
    <w:p w:rsidR="007A646B" w:rsidRDefault="007A646B" w:rsidP="007A646B">
      <w:pPr>
        <w:ind w:firstLine="708"/>
        <w:rPr>
          <w:i/>
          <w:iCs/>
        </w:rPr>
      </w:pPr>
      <w:r>
        <w:lastRenderedPageBreak/>
        <w:t>- bezpiecznie wykonuje doświadczenia fizyczne</w:t>
      </w:r>
      <w:r>
        <w:rPr>
          <w:i/>
          <w:iCs/>
        </w:rPr>
        <w:t xml:space="preserve"> </w:t>
      </w:r>
    </w:p>
    <w:p w:rsidR="007A646B" w:rsidRDefault="007A646B" w:rsidP="007A646B">
      <w:pPr>
        <w:rPr>
          <w:i/>
          <w:iCs/>
        </w:rPr>
      </w:pPr>
      <w:r>
        <w:rPr>
          <w:i/>
          <w:iCs/>
        </w:rPr>
        <w:t>Ocenę niedostateczną otrzymuje uczeń, który:</w:t>
      </w:r>
    </w:p>
    <w:p w:rsidR="007A646B" w:rsidRDefault="007A646B" w:rsidP="007A646B">
      <w:pPr>
        <w:ind w:left="708"/>
        <w:contextualSpacing/>
      </w:pPr>
      <w:r>
        <w:t>- nie opanował wiadomości i umiejętności określonych programem, które są  konieczne do dalszego kształcenia,</w:t>
      </w:r>
    </w:p>
    <w:p w:rsidR="007A646B" w:rsidRDefault="007A646B" w:rsidP="007A646B">
      <w:pPr>
        <w:ind w:left="708"/>
        <w:contextualSpacing/>
      </w:pPr>
      <w:r>
        <w:t>- nie potrafi bezpiecznie posługiwać się prosty sprzętem laboratoryjnym</w:t>
      </w:r>
    </w:p>
    <w:p w:rsidR="007A646B" w:rsidRDefault="007A646B" w:rsidP="007A646B">
      <w:pPr>
        <w:ind w:left="708"/>
        <w:contextualSpacing/>
      </w:pPr>
      <w:r>
        <w:t>- nie skorzystał z ustalonych dla niego form pomocy w celu uzupełnienia braków.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4C5EC2">
      <w:pPr>
        <w:pStyle w:val="Akapitzlist"/>
        <w:numPr>
          <w:ilvl w:val="0"/>
          <w:numId w:val="32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Default="006A1949" w:rsidP="004C5EC2">
      <w:pPr>
        <w:pStyle w:val="rdtytuzkwadratemzielonym"/>
        <w:numPr>
          <w:ilvl w:val="0"/>
          <w:numId w:val="34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235A29" w:rsidRPr="0080186D" w:rsidRDefault="00235A29" w:rsidP="004C5EC2">
      <w:pPr>
        <w:pStyle w:val="rdtytuzkwadratemzielonym"/>
        <w:numPr>
          <w:ilvl w:val="0"/>
          <w:numId w:val="34"/>
        </w:numPr>
        <w:spacing w:after="85"/>
        <w:ind w:left="0" w:firstLine="0"/>
      </w:pPr>
      <w:r>
        <w:t xml:space="preserve">Ocenę celującą otrzymuje uczeń, który opanował wymagania na ocenę bardzo dobrą, na podstawie posiadanych wiadomości i umiejętności określonych podstawą programową i programem nauczania, rozwiązuje zadania nietypowe, problemowe o podwyższonym stopniu trudności. 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752D01" w:rsidTr="00377FD7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D01" w:rsidRDefault="00752D01" w:rsidP="00377FD7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D01" w:rsidRDefault="00752D01" w:rsidP="00377FD7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D01" w:rsidRDefault="00752D01" w:rsidP="00377FD7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D01" w:rsidRDefault="00752D01" w:rsidP="00377FD7">
            <w:pPr>
              <w:pStyle w:val="tabelaglowatabela"/>
            </w:pPr>
            <w:r>
              <w:t>Stopień bardzo dobry</w:t>
            </w:r>
          </w:p>
        </w:tc>
      </w:tr>
      <w:tr w:rsidR="00752D01" w:rsidTr="00377FD7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52D01" w:rsidRDefault="00752D01" w:rsidP="00377FD7">
            <w:pPr>
              <w:pStyle w:val="tabeladzialtabela"/>
            </w:pPr>
            <w:r w:rsidRPr="0011106B">
              <w:rPr>
                <w:b/>
              </w:rPr>
              <w:t>VII. TERMODYNAMIKA</w:t>
            </w:r>
          </w:p>
        </w:tc>
      </w:tr>
      <w:tr w:rsidR="00752D01" w:rsidRPr="00083FAD" w:rsidTr="00377FD7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52D01" w:rsidRPr="00C127F1" w:rsidRDefault="00752D01" w:rsidP="00377FD7">
            <w:pPr>
              <w:pStyle w:val="tabelatresctabela"/>
            </w:pPr>
            <w:r w:rsidRPr="00C127F1">
              <w:t>Uczeń: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pojęciem energii kinetycznej; opisuje wykonaną pracę jako zmianę energii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pojęciem temperatury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podaje przykłady zmiany energii wewnętrznej spowodowanej wykonaniem </w:t>
            </w:r>
            <w:r w:rsidRPr="00C127F1">
              <w:lastRenderedPageBreak/>
              <w:t>pracy lub przepływem ciepła w otaczającej rzeczywistości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r w:rsidRPr="00C127F1">
              <w:t>ciepła topnienia i ciepła parowania; porównuje te wartości dla różnych substancji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doświadczalnie demonstruje zjawisko topnienia</w:t>
            </w:r>
          </w:p>
          <w:p w:rsidR="00752D01" w:rsidRPr="0011106B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posługuje się pojęciem temperatury wrzenia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przeprowadza doświadczenia: 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39"/>
              </w:numPr>
            </w:pPr>
            <w:r w:rsidRPr="00C127F1">
              <w:t>obserwacja zmian temperatury ciał w wyniku wykonania nad nimi pracy lub ogrzania,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39"/>
              </w:numPr>
            </w:pPr>
            <w:r w:rsidRPr="00C127F1">
              <w:t>badanie zjawiska przewodnictwa cieplnego,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39"/>
              </w:numPr>
            </w:pPr>
            <w:r w:rsidRPr="00C127F1">
              <w:t xml:space="preserve">obserwacja zjawiska konwekcji, 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39"/>
              </w:numPr>
            </w:pPr>
            <w:r w:rsidRPr="00C127F1">
              <w:t>obserwacja zmian stanu skupienia wody,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39"/>
              </w:numPr>
            </w:pPr>
            <w:r w:rsidRPr="00C127F1">
              <w:t xml:space="preserve">obserwacja topnienia substancji, </w:t>
            </w:r>
          </w:p>
          <w:p w:rsidR="00752D01" w:rsidRPr="00C127F1" w:rsidRDefault="00752D01" w:rsidP="00377FD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52D01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752D01" w:rsidRPr="00791A66" w:rsidRDefault="00752D01" w:rsidP="004C5EC2">
            <w:pPr>
              <w:pStyle w:val="tabelapunktytabela"/>
              <w:numPr>
                <w:ilvl w:val="0"/>
                <w:numId w:val="38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52D01" w:rsidRPr="00C127F1" w:rsidRDefault="00752D01" w:rsidP="00377FD7">
            <w:pPr>
              <w:pStyle w:val="tabelatresctabela"/>
            </w:pPr>
            <w:r w:rsidRPr="00C127F1">
              <w:lastRenderedPageBreak/>
              <w:t>Uczeń: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lastRenderedPageBreak/>
              <w:t>posługuje się pojęciem energii wewnętrznej; określa jej związek z liczbą cząsteczek, z których zbudowane jest ciało; podaje jednostkę energii wewnętrznej w układzie SI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wykazuje, że energię układu (energię wewnętrzną) można zmienić, wykonując nad nim pracę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analizuje jakościowo związek między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temperaturą a średnią energią kinetyczną (ruchu chaotycznego) cząsteczek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przelicza temperaturę w skali Celsjusza na temperaturę w skali Kelvina i odwrotnie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52D01" w:rsidRPr="0011106B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C127F1">
              <w:t>podaje treść pierwszej zasady termodynamiki</w:t>
            </w:r>
            <w:r>
              <w:t xml:space="preserve"> </w:t>
            </w:r>
            <w:r>
              <w:lastRenderedPageBreak/>
              <w:t>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opisuje zjawisko przewodnictwa cieplnego oraz rolę izolacji cieplnej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opisuje ruch cieczy i gazów w zjawisku konwekcji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752D01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0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A935CC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1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A935CC" w:rsidRPr="00205BD0">
              <w:fldChar w:fldCharType="end"/>
            </w:r>
          </w:p>
          <w:p w:rsidR="00752D01" w:rsidRPr="0011106B" w:rsidRDefault="00752D01" w:rsidP="004C5EC2">
            <w:pPr>
              <w:pStyle w:val="tabelapunktytabela"/>
              <w:numPr>
                <w:ilvl w:val="0"/>
                <w:numId w:val="41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pomiarów, ocenia wynik)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 xml:space="preserve">wyznacza temperaturę: 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42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42"/>
              </w:numPr>
            </w:pPr>
            <w:r w:rsidRPr="00C127F1">
              <w:t xml:space="preserve">wrzenia wybranej substancji, np. wody 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>porównuje topnienie kryształów i ciał bezpostaciowych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>doświadczalnie demonstruje zjawiska wrzenia i skraplania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 xml:space="preserve">przeprowadza doświadczenia: </w:t>
            </w:r>
          </w:p>
          <w:p w:rsidR="00752D01" w:rsidRPr="0011106B" w:rsidRDefault="00752D01" w:rsidP="004C5EC2">
            <w:pPr>
              <w:pStyle w:val="tabelapolpauzytabela"/>
              <w:numPr>
                <w:ilvl w:val="1"/>
                <w:numId w:val="43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43"/>
              </w:numPr>
            </w:pPr>
            <w:r w:rsidRPr="00C127F1">
              <w:t>obserwacja wrzenia,</w:t>
            </w:r>
          </w:p>
          <w:p w:rsidR="00752D01" w:rsidRPr="00C127F1" w:rsidRDefault="00752D01" w:rsidP="00377FD7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752D0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</w:t>
            </w:r>
            <w:r w:rsidRPr="00C127F1">
              <w:lastRenderedPageBreak/>
              <w:t xml:space="preserve">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A935CC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2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935CC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A935CC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935CC" w:rsidRPr="00547B85">
              <w:fldChar w:fldCharType="end"/>
            </w:r>
            <w:r w:rsidRPr="00C127F1">
              <w:t xml:space="preserve">, zależności </w:t>
            </w:r>
            <w:r w:rsidR="00A935CC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5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935CC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</w:t>
            </w:r>
            <w:r w:rsidR="00A935CC" w:rsidRPr="00547B85">
              <w:fldChar w:fldCharType="end"/>
            </w:r>
            <w:r w:rsidRPr="00C127F1">
              <w:t xml:space="preserve"> oraz wzorów na ciepło topnienia i ciepło parowania); wykonuje obliczenia i zapisuje wynik zgodnie z zasadami zaokrąglania oraz zachowaniem liczby cyfr znaczących wynikającej z dokładności danych</w:t>
            </w:r>
          </w:p>
          <w:p w:rsidR="00752D01" w:rsidRDefault="00752D01" w:rsidP="004C5EC2">
            <w:pPr>
              <w:pStyle w:val="tabelapunktytabela"/>
              <w:numPr>
                <w:ilvl w:val="0"/>
                <w:numId w:val="41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52D01" w:rsidRPr="00C127F1" w:rsidRDefault="00752D01" w:rsidP="00377FD7">
            <w:pPr>
              <w:pStyle w:val="tabelatresctabela"/>
            </w:pPr>
            <w:r w:rsidRPr="00C127F1">
              <w:lastRenderedPageBreak/>
              <w:t>Uczeń: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 xml:space="preserve">wyjaśnia związek między energią kinetyczną </w:t>
            </w:r>
            <w:r w:rsidRPr="00C127F1">
              <w:lastRenderedPageBreak/>
              <w:t>cząsteczek i temperaturą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 opisuje możliwość wykonania pracy kosztem energii wewnętrznej; podaje przykłady praktycznego wykorzystania tego procesu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wyjaśnia przepływ ciepła w zjawisku przewodnictwa cieplnego oraz rolę izolacji cieplnej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 rysuje wykres zależności temperatury od czasu ogrzewania lub oziębiania odpowiednio dla zjawiska topnienia lub krzepnięcia na podstawie danych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 posługuje się pojęciem ciepła topnienia wraz z jednostką w układzie SI; podaje wzór na ciepło topnienia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 posługuje się pojęciem ciepła parowania wraz z jednostką w układzie SI; podaje wzór na ciepło parowania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lastRenderedPageBreak/>
              <w:t> wyjaśnia zależność temperatury wrzenia od ciśnienia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4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ciepło topnienia i ciepło parowania)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5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46"/>
              </w:numPr>
            </w:pPr>
            <w:r w:rsidRPr="00C127F1">
              <w:t>energii wewnętrznej i temperatury,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46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52D01" w:rsidRPr="0011106B" w:rsidRDefault="00752D01" w:rsidP="004C5EC2">
            <w:pPr>
              <w:pStyle w:val="tabelapolpauzytabela"/>
              <w:numPr>
                <w:ilvl w:val="1"/>
                <w:numId w:val="46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46"/>
              </w:numPr>
            </w:pPr>
            <w:r w:rsidRPr="00C127F1">
              <w:t>promieniowania słonecznego (np. kolektory słoneczne),</w:t>
            </w:r>
          </w:p>
          <w:p w:rsidR="00752D01" w:rsidRPr="00C127F1" w:rsidRDefault="00752D01" w:rsidP="004C5EC2">
            <w:pPr>
              <w:pStyle w:val="tabelapolpauzytabela"/>
              <w:numPr>
                <w:ilvl w:val="1"/>
                <w:numId w:val="46"/>
              </w:numPr>
            </w:pPr>
            <w:r w:rsidRPr="00C127F1">
              <w:lastRenderedPageBreak/>
              <w:t xml:space="preserve">pojęcia ciepła właściwego (np. znaczenia dużej wartości ciepła właściwego wody i jego związku z klimatem), </w:t>
            </w:r>
          </w:p>
          <w:p w:rsidR="00752D01" w:rsidRDefault="00752D01" w:rsidP="004C5EC2">
            <w:pPr>
              <w:pStyle w:val="tabelapolpauzytabela"/>
              <w:numPr>
                <w:ilvl w:val="1"/>
                <w:numId w:val="46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752D01" w:rsidRPr="00791A66" w:rsidRDefault="00752D01" w:rsidP="00377FD7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52D01" w:rsidRPr="00C127F1" w:rsidRDefault="00752D01" w:rsidP="00377FD7">
            <w:pPr>
              <w:pStyle w:val="tabelatresctabela"/>
            </w:pPr>
            <w:r w:rsidRPr="00C127F1">
              <w:lastRenderedPageBreak/>
              <w:t>Uczeń: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7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7"/>
              </w:numPr>
            </w:pPr>
            <w:r w:rsidRPr="00C127F1">
              <w:t xml:space="preserve"> sporządza i analizuje wykres zależności </w:t>
            </w:r>
            <w:r w:rsidRPr="00C127F1">
              <w:lastRenderedPageBreak/>
              <w:t>temperatury od czasu ogrzewania lub oziębiania dla zjawiska topnienia lub krzepnięcia na podstawie danych (opisuje osie układu współrzędnych, uwzględnia niepewności pomiarów)</w:t>
            </w:r>
          </w:p>
          <w:p w:rsidR="00752D01" w:rsidRDefault="00752D01" w:rsidP="004C5EC2">
            <w:pPr>
              <w:pStyle w:val="tabelapunktytabela"/>
              <w:numPr>
                <w:ilvl w:val="0"/>
                <w:numId w:val="47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52D01" w:rsidRPr="00C127F1" w:rsidRDefault="00752D01" w:rsidP="004C5EC2">
            <w:pPr>
              <w:pStyle w:val="tabelapunktytabela"/>
              <w:numPr>
                <w:ilvl w:val="0"/>
                <w:numId w:val="47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752D01" w:rsidRPr="00A65C11" w:rsidRDefault="00752D01" w:rsidP="00377FD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układu izolowanego; podaje zasadę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zachowania ładunku elektrycznego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na przykładach, kiedy ciało jest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4C5EC2">
            <w:pPr>
              <w:pStyle w:val="TableParagraph"/>
              <w:numPr>
                <w:ilvl w:val="2"/>
                <w:numId w:val="3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4C5EC2">
            <w:pPr>
              <w:pStyle w:val="TableParagraph"/>
              <w:numPr>
                <w:ilvl w:val="2"/>
                <w:numId w:val="3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D80932" w:rsidRDefault="00A125EE" w:rsidP="004C5EC2">
            <w:pPr>
              <w:pStyle w:val="TableParagraph"/>
              <w:numPr>
                <w:ilvl w:val="2"/>
                <w:numId w:val="3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tzw</w:t>
            </w:r>
            <w:proofErr w:type="spellEnd"/>
            <w:r w:rsidRPr="0080186D">
              <w:rPr>
                <w:sz w:val="17"/>
                <w:szCs w:val="17"/>
              </w:rPr>
              <w:t xml:space="preserve">. </w:t>
            </w:r>
            <w:proofErr w:type="spellStart"/>
            <w:r w:rsidRPr="0080186D">
              <w:rPr>
                <w:sz w:val="17"/>
                <w:szCs w:val="17"/>
              </w:rPr>
              <w:t>szereg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4C5EC2">
            <w:pPr>
              <w:pStyle w:val="TableParagraph"/>
              <w:numPr>
                <w:ilvl w:val="2"/>
                <w:numId w:val="3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4C5EC2">
            <w:pPr>
              <w:pStyle w:val="TableParagraph"/>
              <w:numPr>
                <w:ilvl w:val="2"/>
                <w:numId w:val="3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973ED" w:rsidP="004C5EC2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4C5EC2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4C5EC2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szeregowo, woltomierz równolegle)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wyodrębnia z tekstów, tabel i rysunków informacje kluczowe dla opisywanego zjawiska lub problemu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lastRenderedPageBreak/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4C5EC2">
            <w:pPr>
              <w:pStyle w:val="TableParagraph"/>
              <w:numPr>
                <w:ilvl w:val="1"/>
                <w:numId w:val="37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4C5EC2">
            <w:pPr>
              <w:pStyle w:val="TableParagraph"/>
              <w:numPr>
                <w:ilvl w:val="1"/>
                <w:numId w:val="3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4C5EC2">
            <w:pPr>
              <w:pStyle w:val="TableParagraph"/>
              <w:numPr>
                <w:ilvl w:val="1"/>
                <w:numId w:val="3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4C5EC2">
            <w:pPr>
              <w:pStyle w:val="TableParagraph"/>
              <w:numPr>
                <w:ilvl w:val="1"/>
                <w:numId w:val="3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</w:t>
            </w:r>
            <w:r w:rsidRPr="006C5765">
              <w:rPr>
                <w:sz w:val="17"/>
                <w:szCs w:val="17"/>
                <w:lang w:val="pl-PL"/>
              </w:rPr>
              <w:lastRenderedPageBreak/>
              <w:t>na podstawie tych wyników)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stwierdza, że elektrownie wytwarzają prąd przemienny, który do mieszkań jest dostarczany pod napięciem 230 V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4C5EC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4C5EC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4C5EC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4C5EC2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przedmioty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wzajemne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4C5EC2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wzajemne oddziaływanie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4C5EC2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4C5EC2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4C5EC2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zwojnicy (reguła śruby prawoskrętnej, reguła prawej dłoni, na podstawie ułożenia strzałek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diamagnetyki; podaje ich przykłady;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 xml:space="preserve">przeprowadza doświadczenie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kazujące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A125EE" w:rsidP="004C5EC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4C5EC2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4C5EC2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  <w:proofErr w:type="spellEnd"/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4C5EC2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4C5EC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amplitudę tego ruchu; podaje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4C5EC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4C5EC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4C5EC2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wytwarza dźwięki; bada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4C5EC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4C5EC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proofErr w:type="spellEnd"/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4C5EC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proofErr w:type="spellEnd"/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energii potencjalnej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 xml:space="preserve">częstotliwością (lub </w:t>
            </w:r>
            <w:r w:rsidRPr="007A2480">
              <w:rPr>
                <w:sz w:val="17"/>
                <w:szCs w:val="17"/>
                <w:lang w:val="pl-PL"/>
              </w:rPr>
              <w:lastRenderedPageBreak/>
              <w:t>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drgającego przedmiotu lub instrumentu muzycznego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go, częstotliwości drgań własnych; odróżnia wahadło matematyczne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wahadła sprężynowego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jego jednostką (</w:t>
            </w:r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4C5EC2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od czego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promienia krzywizny zwierciadła;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rozpraszające);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4C5EC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opisuje bieg promieni ilustrujący powstawanie obrazów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4C5EC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4C5EC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4C5EC2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4C5EC2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4C5EC2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6F7846" w:rsidRPr="00B02444" w:rsidRDefault="006F7846" w:rsidP="004C5EC2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obrazy wytwarzane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przez zwierciadło płaskie, obserwuje obrazy wytwarzane przez zwierciadła sferyczne,</w:t>
            </w:r>
          </w:p>
          <w:p w:rsidR="006F7846" w:rsidRPr="00B02444" w:rsidRDefault="006F7846" w:rsidP="004C5EC2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4C5EC2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4C5EC2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zwierciadle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konstruuje graficznie bieg promieni ilustrujący powstawanie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rysunku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4C5EC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4C5EC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 xml:space="preserve">otrzymuje za pomocą soczewki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 xml:space="preserve">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Pr="0005791D">
              <w:rPr>
                <w:spacing w:val="-4"/>
                <w:sz w:val="17"/>
                <w:szCs w:val="17"/>
                <w:lang w:val="pl-PL"/>
              </w:rPr>
              <w:t xml:space="preserve">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="0080186D"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6F7846" w:rsidRPr="0005791D" w:rsidRDefault="006F7846" w:rsidP="004C5EC2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="0080186D"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przyrządach </w:t>
            </w:r>
            <w:proofErr w:type="spellStart"/>
            <w:r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cznych</w:t>
            </w:r>
            <w:proofErr w:type="spellEnd"/>
            <w:r w:rsidRPr="0005791D">
              <w:rPr>
                <w:spacing w:val="-8"/>
                <w:sz w:val="17"/>
                <w:szCs w:val="17"/>
                <w:lang w:val="pl-PL"/>
              </w:rPr>
              <w:t xml:space="preserve"> (np. mikroskopie, lunecie)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4C5EC2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11"/>
          <w:footerReference w:type="default" r:id="rId12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3"/>
      <w:footerReference w:type="default" r:id="rId14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22" w:rsidRDefault="003C6722" w:rsidP="005019FC">
      <w:r>
        <w:separator/>
      </w:r>
    </w:p>
  </w:endnote>
  <w:endnote w:type="continuationSeparator" w:id="0">
    <w:p w:rsidR="003C6722" w:rsidRDefault="003C6722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lia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D7" w:rsidRPr="005019FC" w:rsidRDefault="00377FD7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D7" w:rsidRPr="004F6C5C" w:rsidRDefault="00377FD7" w:rsidP="00377FD7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377FD7" w:rsidRPr="00A65C11" w:rsidRDefault="00377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22" w:rsidRDefault="003C6722" w:rsidP="005019FC">
      <w:r>
        <w:separator/>
      </w:r>
    </w:p>
  </w:footnote>
  <w:footnote w:type="continuationSeparator" w:id="0">
    <w:p w:rsidR="003C6722" w:rsidRDefault="003C6722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D7" w:rsidRDefault="00377FD7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377FD7" w:rsidRPr="00A65C11" w:rsidRDefault="00377FD7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6830E8" w:rsidRPr="006830E8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Pole tekstowe 473" o:spid="_x0000_s2051" type="#_x0000_t202" style="position:absolute;margin-left:37.15pt;margin-top:35.45pt;width:122.9pt;height:17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377FD7" w:rsidRDefault="00377FD7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377FD7" w:rsidRPr="00A65C11" w:rsidRDefault="00377FD7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D7" w:rsidRDefault="00377FD7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377FD7" w:rsidRPr="00A65C11" w:rsidRDefault="00377FD7" w:rsidP="00377FD7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662042" w:rsidRPr="00662042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17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377FD7" w:rsidRDefault="00377FD7" w:rsidP="00377FD7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377FD7" w:rsidRPr="00A65C11" w:rsidRDefault="00377FD7" w:rsidP="00377FD7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377FD7" w:rsidRDefault="00377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1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2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7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9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2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34"/>
  </w:num>
  <w:num w:numId="5">
    <w:abstractNumId w:val="37"/>
  </w:num>
  <w:num w:numId="6">
    <w:abstractNumId w:val="39"/>
  </w:num>
  <w:num w:numId="7">
    <w:abstractNumId w:val="8"/>
  </w:num>
  <w:num w:numId="8">
    <w:abstractNumId w:val="13"/>
  </w:num>
  <w:num w:numId="9">
    <w:abstractNumId w:val="19"/>
  </w:num>
  <w:num w:numId="10">
    <w:abstractNumId w:val="35"/>
  </w:num>
  <w:num w:numId="11">
    <w:abstractNumId w:val="26"/>
  </w:num>
  <w:num w:numId="12">
    <w:abstractNumId w:val="5"/>
  </w:num>
  <w:num w:numId="13">
    <w:abstractNumId w:val="12"/>
  </w:num>
  <w:num w:numId="14">
    <w:abstractNumId w:val="23"/>
  </w:num>
  <w:num w:numId="15">
    <w:abstractNumId w:val="42"/>
  </w:num>
  <w:num w:numId="16">
    <w:abstractNumId w:val="7"/>
  </w:num>
  <w:num w:numId="17">
    <w:abstractNumId w:val="16"/>
  </w:num>
  <w:num w:numId="18">
    <w:abstractNumId w:val="15"/>
  </w:num>
  <w:num w:numId="19">
    <w:abstractNumId w:val="17"/>
  </w:num>
  <w:num w:numId="20">
    <w:abstractNumId w:val="41"/>
  </w:num>
  <w:num w:numId="21">
    <w:abstractNumId w:val="2"/>
  </w:num>
  <w:num w:numId="22">
    <w:abstractNumId w:val="33"/>
  </w:num>
  <w:num w:numId="23">
    <w:abstractNumId w:val="6"/>
  </w:num>
  <w:num w:numId="24">
    <w:abstractNumId w:val="9"/>
  </w:num>
  <w:num w:numId="25">
    <w:abstractNumId w:val="1"/>
  </w:num>
  <w:num w:numId="26">
    <w:abstractNumId w:val="0"/>
  </w:num>
  <w:num w:numId="27">
    <w:abstractNumId w:val="28"/>
  </w:num>
  <w:num w:numId="28">
    <w:abstractNumId w:val="14"/>
  </w:num>
  <w:num w:numId="29">
    <w:abstractNumId w:val="38"/>
  </w:num>
  <w:num w:numId="30">
    <w:abstractNumId w:val="30"/>
  </w:num>
  <w:num w:numId="31">
    <w:abstractNumId w:val="3"/>
  </w:num>
  <w:num w:numId="32">
    <w:abstractNumId w:val="21"/>
  </w:num>
  <w:num w:numId="33">
    <w:abstractNumId w:val="4"/>
  </w:num>
  <w:num w:numId="34">
    <w:abstractNumId w:val="32"/>
  </w:num>
  <w:num w:numId="35">
    <w:abstractNumId w:val="20"/>
  </w:num>
  <w:num w:numId="36">
    <w:abstractNumId w:val="40"/>
  </w:num>
  <w:num w:numId="37">
    <w:abstractNumId w:val="29"/>
  </w:num>
  <w:num w:numId="38">
    <w:abstractNumId w:val="18"/>
  </w:num>
  <w:num w:numId="39">
    <w:abstractNumId w:val="1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25"/>
  </w:num>
  <w:num w:numId="41">
    <w:abstractNumId w:val="36"/>
  </w:num>
  <w:num w:numId="42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31"/>
  </w:num>
  <w:num w:numId="45">
    <w:abstractNumId w:val="11"/>
  </w:num>
  <w:num w:numId="4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7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56054"/>
    <w:rsid w:val="00173924"/>
    <w:rsid w:val="00222A6F"/>
    <w:rsid w:val="00235A29"/>
    <w:rsid w:val="00277C1B"/>
    <w:rsid w:val="002E66C0"/>
    <w:rsid w:val="00377FD7"/>
    <w:rsid w:val="003A094A"/>
    <w:rsid w:val="003B15F9"/>
    <w:rsid w:val="003C6722"/>
    <w:rsid w:val="003F7C9C"/>
    <w:rsid w:val="00474684"/>
    <w:rsid w:val="004C5EC2"/>
    <w:rsid w:val="004D454C"/>
    <w:rsid w:val="004F6C5C"/>
    <w:rsid w:val="005019FC"/>
    <w:rsid w:val="00662042"/>
    <w:rsid w:val="006830E8"/>
    <w:rsid w:val="006A1949"/>
    <w:rsid w:val="006C5765"/>
    <w:rsid w:val="006F7846"/>
    <w:rsid w:val="00711341"/>
    <w:rsid w:val="00721108"/>
    <w:rsid w:val="00732F15"/>
    <w:rsid w:val="00750CCB"/>
    <w:rsid w:val="00752D01"/>
    <w:rsid w:val="007A2480"/>
    <w:rsid w:val="007A646B"/>
    <w:rsid w:val="0080186D"/>
    <w:rsid w:val="0085190A"/>
    <w:rsid w:val="00885EEE"/>
    <w:rsid w:val="008909F2"/>
    <w:rsid w:val="008973ED"/>
    <w:rsid w:val="008F73FA"/>
    <w:rsid w:val="00921BA1"/>
    <w:rsid w:val="009B4A7A"/>
    <w:rsid w:val="00A125EE"/>
    <w:rsid w:val="00A935CC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rsid w:val="008909F2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A7A"/>
    <w:pPr>
      <w:adjustRightInd w:val="0"/>
      <w:spacing w:after="120"/>
      <w:ind w:left="283"/>
    </w:pPr>
    <w:rPr>
      <w:rFonts w:ascii="Celias" w:eastAsiaTheme="minorEastAsia" w:hAnsi="Celias" w:cs="Celias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A7A"/>
    <w:rPr>
      <w:rFonts w:ascii="Celias" w:eastAsiaTheme="minorEastAsia" w:hAnsi="Celias" w:cs="Celias"/>
      <w:lang w:eastAsia="pl-PL"/>
    </w:rPr>
  </w:style>
  <w:style w:type="paragraph" w:customStyle="1" w:styleId="NoParagraphStyle">
    <w:name w:val="[No Paragraph Style]"/>
    <w:rsid w:val="00752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752D01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752D01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752D01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752D01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752D01"/>
    <w:pPr>
      <w:jc w:val="center"/>
    </w:pPr>
  </w:style>
  <w:style w:type="character" w:customStyle="1" w:styleId="dzial-B">
    <w:name w:val="dzial-B"/>
    <w:uiPriority w:val="99"/>
    <w:rsid w:val="00752D01"/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A7A"/>
    <w:pPr>
      <w:adjustRightInd w:val="0"/>
      <w:spacing w:after="120"/>
      <w:ind w:left="283"/>
    </w:pPr>
    <w:rPr>
      <w:rFonts w:ascii="Celias" w:eastAsiaTheme="minorEastAsia" w:hAnsi="Celias" w:cs="Celias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A7A"/>
    <w:rPr>
      <w:rFonts w:ascii="Celias" w:eastAsiaTheme="minorEastAsia" w:hAnsi="Celias" w:cs="Celia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59E6-9FE9-459C-876B-655D0A6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6656</Words>
  <Characters>39938</Characters>
  <Application>Microsoft Office Word</Application>
  <DocSecurity>0</DocSecurity>
  <Lines>332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Acer</cp:lastModifiedBy>
  <cp:revision>25</cp:revision>
  <dcterms:created xsi:type="dcterms:W3CDTF">2023-08-17T09:12:00Z</dcterms:created>
  <dcterms:modified xsi:type="dcterms:W3CDTF">2023-09-01T17:08:00Z</dcterms:modified>
</cp:coreProperties>
</file>